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120" w:line="240" w:lineRule="auto"/>
        <w:jc w:val="center"/>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Pr>
        <w:drawing>
          <wp:inline distB="0" distT="0" distL="0" distR="0">
            <wp:extent cx="1916430" cy="1114425"/>
            <wp:effectExtent b="0" l="0" r="0" t="0"/>
            <wp:docPr id="1" name="image1.png"/>
            <a:graphic>
              <a:graphicData uri="http://schemas.openxmlformats.org/drawingml/2006/picture">
                <pic:pic>
                  <pic:nvPicPr>
                    <pic:cNvPr id="0" name="image1.png"/>
                    <pic:cNvPicPr preferRelativeResize="0"/>
                  </pic:nvPicPr>
                  <pic:blipFill>
                    <a:blip r:embed="rId6"/>
                    <a:srcRect b="-390" l="-225" r="-224" t="-391"/>
                    <a:stretch>
                      <a:fillRect/>
                    </a:stretch>
                  </pic:blipFill>
                  <pic:spPr>
                    <a:xfrm>
                      <a:off x="0" y="0"/>
                      <a:ext cx="1916430" cy="11144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after="12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POLITYKA OCHRONY DZIECI PRZED KRZYWDZENIEM</w:t>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 ODDZIALE INTEGRACYJNEJ SZKOŁY PODSTAWOWEJ ALTO WE WROCŁAWIU PRZY UL. WIETRZNEJ 10</w:t>
      </w:r>
    </w:p>
    <w:p w:rsidR="00000000" w:rsidDel="00000000" w:rsidP="00000000" w:rsidRDefault="00000000" w:rsidRPr="00000000" w14:paraId="0000000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Polityka ochrony dzieci</w:t>
      </w:r>
    </w:p>
    <w:p w:rsidR="00000000" w:rsidDel="00000000" w:rsidP="00000000" w:rsidRDefault="00000000" w:rsidRPr="00000000" w14:paraId="00000008">
      <w:pPr>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Preambuła</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Naczelną zasadą wszystkich działań podejmowanych przez pracowników placówki jest  działanie dla dobra dziecka i w jego najlepszym interesie. Pracownik placówki traktuje dziecko z szacunkiem oraz uwzględnia jego potrzeby. Niedopuszczalne jest stosowanie przez pracownika wobec dziecka przemocy w jakiejkolwiek formie. Pracownik placówki, realizując te cele, działa w ramach obowiązującego prawa, przepisów wewnętrznych danej placówki oraz swoich kompetencji. Zwiększenie wśród pracowników szkoły świadomości dotyczących zagrożeń pozwoli na efektywniejsze im zapobieganie oraz tworzenie środowiska pozbawionego czynników mogących doprowadzić do naruszenia praw dziecka.</w:t>
      </w:r>
    </w:p>
    <w:p w:rsidR="00000000" w:rsidDel="00000000" w:rsidP="00000000" w:rsidRDefault="00000000" w:rsidRPr="00000000" w14:paraId="0000000D">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Postanowienia i zasady zawarte w niniejszym dokumencie obowiązują wszystkich pracowników szkoły, których wszelkie działania powinny być nakierowane na rzecz dobra i bezpieczeństwa dziecka, wraz z zapewnieniem mu godności i szacunku.</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Podstawa prawna:</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Konwencja o prawach dziecka przyjęta przez Zgromadzenie Ogólne Narodów Zjednoczonych dnia 20 listopada 1989 r. (Dz. U. z 1991r. Nr 120, poz. 526 z późn. zm.).</w:t>
      </w: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Konstytucja Rzeczypospolitej Polskiej z dnia 2 kwietnia 1997 r. (Dz. U. Nr 78, poz. 483 z późn. zm.).</w:t>
      </w:r>
    </w:p>
    <w:p w:rsidR="00000000" w:rsidDel="00000000" w:rsidP="00000000" w:rsidRDefault="00000000" w:rsidRPr="00000000" w14:paraId="00000014">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000000" w:rsidDel="00000000" w:rsidP="00000000" w:rsidRDefault="00000000" w:rsidRPr="00000000" w14:paraId="00000015">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4 lutego 1994 r. o prawie autorskim i prawach pokrewnych (art. 81).</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25 lutego 1964 r. Kodeks rodzinny i opiekuńczy (t.j. Dz. U. z 2020 r. poz. 1359).</w:t>
      </w: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28 lipca 2023 r. o zmianie ustawy - Kodeks rodzinny i opiekuńczy (Dz. U. poz. 1606).</w:t>
      </w:r>
    </w:p>
    <w:p w:rsidR="00000000" w:rsidDel="00000000" w:rsidP="00000000" w:rsidRDefault="00000000" w:rsidRPr="00000000" w14:paraId="00000018">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10 maja 2018 r. o ochronie danych osobowych.</w:t>
      </w:r>
    </w:p>
    <w:p w:rsidR="00000000" w:rsidDel="00000000" w:rsidP="00000000" w:rsidRDefault="00000000" w:rsidRPr="00000000" w14:paraId="00000019">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13 maja 2016 r. o przeciwdziałaniu zagrożeniom przestępczością na tle seksualnym (t.j. Dz. U. z 2023 r. poz. 31 z późn. zm. i Dz. U. z 2020 r. poz. 152).</w:t>
      </w:r>
    </w:p>
    <w:p w:rsidR="00000000" w:rsidDel="00000000" w:rsidP="00000000" w:rsidRDefault="00000000" w:rsidRPr="00000000" w14:paraId="0000001A">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24 maja 2000 r. o Krajowym Rejestrze Karnym (t.j. Dz. U. z 2021 r. poz. 1709).</w:t>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29 lipca 2005 r. o przeciwdziałaniu przemocy domowej (t.j. Dz. U. z 2021 r. poz. 1249) - art. 12 i 12a.</w:t>
      </w: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6 czerwca 1997 r. Kodeks karny (t.j. Dz. U. z 2022 r. poz. 1138 z późn. zm.).</w:t>
      </w: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6 czerwca 1997 r. Kodeks postępowania karnego (t.j. Dz. U. z 2022 r. poz. 1375 z późn. zm.) - art. 304.</w:t>
      </w: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23 kwietnia 1964 r. Kodeks cywilny (t.j. Dz. U. z 2022 r. poz. 1360 z późn. zm.) -art. 23 i 24.</w:t>
      </w: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color w:val="1d1d1b"/>
          <w:sz w:val="24"/>
          <w:szCs w:val="24"/>
        </w:rPr>
      </w:pPr>
      <w:r w:rsidDel="00000000" w:rsidR="00000000" w:rsidRPr="00000000">
        <w:rPr>
          <w:rFonts w:ascii="Times New Roman" w:cs="Times New Roman" w:eastAsia="Times New Roman" w:hAnsi="Times New Roman"/>
          <w:color w:val="1d1d1b"/>
          <w:sz w:val="24"/>
          <w:szCs w:val="24"/>
          <w:rtl w:val="0"/>
        </w:rPr>
        <w:t xml:space="preserve">• Ustawa z dnia 17 listopada 1964 r. Kodeks postępowania cywilnego (t.j. Dz. U. z 2023 r. poz. 1550 z późn. zm.).</w:t>
      </w:r>
    </w:p>
    <w:p w:rsidR="00000000" w:rsidDel="00000000" w:rsidP="00000000" w:rsidRDefault="00000000" w:rsidRPr="00000000" w14:paraId="00000020">
      <w:pPr>
        <w:jc w:val="both"/>
        <w:rPr>
          <w:rFonts w:ascii="Times New Roman" w:cs="Times New Roman" w:eastAsia="Times New Roman" w:hAnsi="Times New Roman"/>
          <w:color w:val="1d1d1b"/>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color w:val="1d1d1b"/>
          <w:sz w:val="24"/>
          <w:szCs w:val="24"/>
        </w:rPr>
      </w:pPr>
      <w:r w:rsidDel="00000000" w:rsidR="00000000" w:rsidRPr="00000000">
        <w:rPr>
          <w:rtl w:val="0"/>
        </w:rPr>
      </w:r>
    </w:p>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I</w:t>
      </w:r>
    </w:p>
    <w:p w:rsidR="00000000" w:rsidDel="00000000" w:rsidP="00000000" w:rsidRDefault="00000000" w:rsidRPr="00000000" w14:paraId="0000002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Objaśnienie terminów</w:t>
      </w:r>
    </w:p>
    <w:p w:rsidR="00000000" w:rsidDel="00000000" w:rsidP="00000000" w:rsidRDefault="00000000" w:rsidRPr="00000000" w14:paraId="0000002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027">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Pracownikiem placówki jest osoba zatrudniona na podstawie umowy o pracę lub umowy zlecenia.</w:t>
      </w:r>
    </w:p>
    <w:p w:rsidR="00000000" w:rsidDel="00000000" w:rsidP="00000000" w:rsidRDefault="00000000" w:rsidRPr="00000000" w14:paraId="00000028">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Dzieckiem jest każda osoba do ukończenia 18. roku życia.</w:t>
      </w:r>
    </w:p>
    <w:p w:rsidR="00000000" w:rsidDel="00000000" w:rsidP="00000000" w:rsidRDefault="00000000" w:rsidRPr="00000000" w14:paraId="00000029">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Opiekunem dziecka jest osoba uprawniona do reprezentacji dziecka, w szczególności jego rodzic lub opiekun prawny. W myśl niniejszego dokumentu opiekunem jest również rodzic zastępczy.</w:t>
      </w:r>
    </w:p>
    <w:p w:rsidR="00000000" w:rsidDel="00000000" w:rsidP="00000000" w:rsidRDefault="00000000" w:rsidRPr="00000000" w14:paraId="0000002A">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Zgoda rodzica dziecka oznacza zgodę co najmniej jednego z rodziców dziecka. Jednak w przypadku braku porozumienia między rodzicami dziecka należy poinformować rodziców o konieczności rozstrzygnięcia sprawy przez sąd rodzinny.</w:t>
      </w:r>
    </w:p>
    <w:p w:rsidR="00000000" w:rsidDel="00000000" w:rsidP="00000000" w:rsidRDefault="00000000" w:rsidRPr="00000000" w14:paraId="0000002B">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Przez krzywdzenie dziecka należy rozumieć popełnienie czynu zabronionego lub czynu karalnego na szkodę dziecka przez jakąkolwiek osobę, w tym pracownika placówki, lub zagrożenie dobra dziecka, w tym jego zaniedbywanie.</w:t>
      </w:r>
    </w:p>
    <w:p w:rsidR="00000000" w:rsidDel="00000000" w:rsidP="00000000" w:rsidRDefault="00000000" w:rsidRPr="00000000" w14:paraId="0000002C">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odpowiedzialna za internet to wyznaczony przez kierownictwo placówki pracownik, sprawujący nadzór nad korzystaniem z internetu przez dzieci na terenie placówki oraz nad bezpieczeństwem dzieci w internecie.</w:t>
      </w:r>
    </w:p>
    <w:p w:rsidR="00000000" w:rsidDel="00000000" w:rsidP="00000000" w:rsidRDefault="00000000" w:rsidRPr="00000000" w14:paraId="0000002D">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odpowiedzialna za </w:t>
      </w:r>
      <w:r w:rsidDel="00000000" w:rsidR="00000000" w:rsidRPr="00000000">
        <w:rPr>
          <w:rFonts w:ascii="Times New Roman" w:cs="Times New Roman" w:eastAsia="Times New Roman" w:hAnsi="Times New Roman"/>
          <w:i w:val="1"/>
          <w:sz w:val="24"/>
          <w:szCs w:val="24"/>
          <w:rtl w:val="0"/>
        </w:rPr>
        <w:t xml:space="preserve">Politykę ochrony dzieci przed krzywdzeniem</w:t>
      </w:r>
      <w:r w:rsidDel="00000000" w:rsidR="00000000" w:rsidRPr="00000000">
        <w:rPr>
          <w:rFonts w:ascii="Times New Roman" w:cs="Times New Roman" w:eastAsia="Times New Roman" w:hAnsi="Times New Roman"/>
          <w:sz w:val="24"/>
          <w:szCs w:val="24"/>
          <w:rtl w:val="0"/>
        </w:rPr>
        <w:t xml:space="preserve"> to wyznaczony przez kierownictwo placówki pracownik sprawujący nadzór nad realizacją </w:t>
      </w:r>
      <w:r w:rsidDel="00000000" w:rsidR="00000000" w:rsidRPr="00000000">
        <w:rPr>
          <w:rFonts w:ascii="Times New Roman" w:cs="Times New Roman" w:eastAsia="Times New Roman" w:hAnsi="Times New Roman"/>
          <w:i w:val="1"/>
          <w:sz w:val="24"/>
          <w:szCs w:val="24"/>
          <w:rtl w:val="0"/>
        </w:rPr>
        <w:t xml:space="preserve">Polityki ochrony dzieci przed krzywdzeniem</w:t>
      </w:r>
      <w:r w:rsidDel="00000000" w:rsidR="00000000" w:rsidRPr="00000000">
        <w:rPr>
          <w:rFonts w:ascii="Times New Roman" w:cs="Times New Roman" w:eastAsia="Times New Roman" w:hAnsi="Times New Roman"/>
          <w:sz w:val="24"/>
          <w:szCs w:val="24"/>
          <w:rtl w:val="0"/>
        </w:rPr>
        <w:t xml:space="preserve"> w placówce.</w:t>
      </w:r>
    </w:p>
    <w:p w:rsidR="00000000" w:rsidDel="00000000" w:rsidP="00000000" w:rsidRDefault="00000000" w:rsidRPr="00000000" w14:paraId="0000002E">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Dane osobowe dziecka to wszelkie informacje umożliwiające identyfikację dziecka.</w:t>
      </w: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II</w:t>
      </w:r>
    </w:p>
    <w:p w:rsidR="00000000" w:rsidDel="00000000" w:rsidP="00000000" w:rsidRDefault="00000000" w:rsidRPr="00000000" w14:paraId="0000003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Rozpoznawanie i reagowanie na czynniki ryzyka krzywdzenia dzieci</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033">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Pracownicy placówki posiadają wiedzę i w ramach wykonywanych obowiązków zwracają uwagę na czynniki ryzyka i symptomy krzywdzenia dzieci.</w:t>
      </w:r>
    </w:p>
    <w:p w:rsidR="00000000" w:rsidDel="00000000" w:rsidP="00000000" w:rsidRDefault="00000000" w:rsidRPr="00000000" w14:paraId="00000034">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przypadku zidentyfikowania czynników ryzyka pracownicy placówki podejmują rozmowę z rodzicami, przekazując informacje na temat dostępnej oferty wsparcia i motywując ich do szukania dla siebie pomocy.</w:t>
      </w:r>
    </w:p>
    <w:p w:rsidR="00000000" w:rsidDel="00000000" w:rsidP="00000000" w:rsidRDefault="00000000" w:rsidRPr="00000000" w14:paraId="00000035">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Pracownicy monitorują sytuację i dobrostan dziecka.</w:t>
      </w:r>
    </w:p>
    <w:p w:rsidR="00000000" w:rsidDel="00000000" w:rsidP="00000000" w:rsidRDefault="00000000" w:rsidRPr="00000000" w14:paraId="00000036">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Pracownicy znają i stosują zasady bezpiecznych relacji personel–dziecko i dziecko–dziecko ustalone w placówce. Zasady stanowią Załącznik 1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7">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Rekrutacja pracowników placówki odbywa się zgodnie z zasadami bezpiecznej rekrutacji personelu. Zasady stanowią Załącznik 2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III</w:t>
      </w:r>
    </w:p>
    <w:p w:rsidR="00000000" w:rsidDel="00000000" w:rsidP="00000000" w:rsidRDefault="00000000" w:rsidRPr="00000000" w14:paraId="0000003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Procedury interwencji w przypadku krzywdzenia dziecka</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w:t>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przypadku podjęcia przez pracownika placówki podejrzenia, że dziecko jest krzywdzone, pracownik ma obowiązek sporządzenia notatki służbowej i przekazania uzyskanej informacji dyrekcji i kierownictwu placówki.</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w:t>
      </w:r>
    </w:p>
    <w:p w:rsidR="00000000" w:rsidDel="00000000" w:rsidP="00000000" w:rsidRDefault="00000000" w:rsidRPr="00000000" w14:paraId="00000040">
      <w:pPr>
        <w:numPr>
          <w:ilvl w:val="0"/>
          <w:numId w:val="1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Wychowawca lub dyrekcja i kierownictwo placówki wzywa opiekunów dziecka, którego krzywdzenie podejrzewa, oraz informuje ich o podejrzeniu.</w:t>
      </w:r>
    </w:p>
    <w:p w:rsidR="00000000" w:rsidDel="00000000" w:rsidP="00000000" w:rsidRDefault="00000000" w:rsidRPr="00000000" w14:paraId="00000041">
      <w:pPr>
        <w:numPr>
          <w:ilvl w:val="0"/>
          <w:numId w:val="1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Wychowawca lub dyrekcja i kierownictwo placówki powinno sporządzić opis sytuacji szkolnej/przedszkolnej i rodzinnej dziecka na podstawie rozmów z dzieckiem, nauczycielami, wychowawcą i rodzicami oraz plan pomocy dziecku.</w:t>
      </w:r>
    </w:p>
    <w:p w:rsidR="00000000" w:rsidDel="00000000" w:rsidP="00000000" w:rsidRDefault="00000000" w:rsidRPr="00000000" w14:paraId="00000042">
      <w:pPr>
        <w:numPr>
          <w:ilvl w:val="0"/>
          <w:numId w:val="1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Plan pomocy dziecku powinien zawierać wskazania dotyczące:</w:t>
      </w:r>
    </w:p>
    <w:p w:rsidR="00000000" w:rsidDel="00000000" w:rsidP="00000000" w:rsidRDefault="00000000" w:rsidRPr="00000000" w14:paraId="00000043">
      <w:pPr>
        <w:numPr>
          <w:ilvl w:val="0"/>
          <w:numId w:val="8"/>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podjęcia przez placówkę działań w celu zapewnienia dziecku bezpieczeństwa, w tym zgłoszenie podejrzenia krzywdzenia do odpowiedniej placówki,</w:t>
      </w:r>
    </w:p>
    <w:p w:rsidR="00000000" w:rsidDel="00000000" w:rsidP="00000000" w:rsidRDefault="00000000" w:rsidRPr="00000000" w14:paraId="00000044">
      <w:pPr>
        <w:numPr>
          <w:ilvl w:val="0"/>
          <w:numId w:val="8"/>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wsparcia, jakie placówka zaoferuje dziecku,</w:t>
      </w:r>
    </w:p>
    <w:p w:rsidR="00000000" w:rsidDel="00000000" w:rsidP="00000000" w:rsidRDefault="00000000" w:rsidRPr="00000000" w14:paraId="00000045">
      <w:pPr>
        <w:numPr>
          <w:ilvl w:val="0"/>
          <w:numId w:val="8"/>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skierowania dziecka do specjalistycznej placówki pomocy dziecku, jeżeli istnieje taka potrzeba.</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p w:rsidR="00000000" w:rsidDel="00000000" w:rsidP="00000000" w:rsidRDefault="00000000" w:rsidRPr="00000000" w14:paraId="00000048">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przypadkach bardziej skomplikowanych (dotyczących wykorzystywania seksualnego oraz znęcania się fizycznego i psychicznego o dużym nasileniu) Wychowawca lub dyrekcja i kierownictwo placówki powołuje zespół interwencyjny, w skład którego mogą wejść: pedagog/psycholog, wychowawca dziecka, kierownictwo placówki, inni pracownicy mający wiedzę o krzywdzeniu dziecka lub o dziecku (dalej określani jako: zespół interwencyjny).</w:t>
      </w:r>
    </w:p>
    <w:p w:rsidR="00000000" w:rsidDel="00000000" w:rsidP="00000000" w:rsidRDefault="00000000" w:rsidRPr="00000000" w14:paraId="00000049">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Zespół interwencyjny sporządza plan pomocy dziecku, spełniający wymogi określone w §2 pkt. 2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 na podstawie opisu sporządzonego przez pedagoga szkolnego oraz innych, uzyskanych przez członków zespołu, informacji.</w:t>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przypadku gdy podejrzenie krzywdzenia zgłosili opiekunowie dziecka, powołanie zespołu jest obligatoryjne. Zespół interwencyjny wzywa opiekunów dziecka na spotkanie wyjaśniające, podczas którego może zaproponować opiekunom zdiagnozowanie zgłaszanego podejrzenia w zewnętrznej, bezstronnej instytucji. Ze spotkania sporządza się protokół.</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p w:rsidR="00000000" w:rsidDel="00000000" w:rsidP="00000000" w:rsidRDefault="00000000" w:rsidRPr="00000000" w14:paraId="0000004D">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Plan pomocy dziecku jest przedstawiany przez pedagoga/psychologa opiekunom z zaleceniem współpracy przy jego realizacji.</w:t>
      </w:r>
    </w:p>
    <w:p w:rsidR="00000000" w:rsidDel="00000000" w:rsidP="00000000" w:rsidRDefault="00000000" w:rsidRPr="00000000" w14:paraId="0000004E">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Pedagog/psycholog informuje opiekunów o obowiązku placówki zgłoszenia podejrzenia krzywdzenia dziecka do odpowiedniej instytucji (prokuratura/policja lub sąd rodzinny, ośrodek pomocy społecznej bądź przewodniczący zespołu interdyscyplinarnego – procedura „Niebieskiej Karty” – w zależności od zdiagnozowanego typu krzywdzenia i skorelowanej z nim interwencji).</w:t>
      </w:r>
    </w:p>
    <w:p w:rsidR="00000000" w:rsidDel="00000000" w:rsidP="00000000" w:rsidRDefault="00000000" w:rsidRPr="00000000" w14:paraId="0000004F">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 poinformowaniu opiekunów przez pedagoga/psychologa – zgodnie z punktem poprzedzającym – kierownictwo placówki składa zawiadomienie o podejrzeniu przestępstwa do prokuratury/policji lub wniosek o wgląd w sytuację rodziny do sądu rejonowego, wydziału rodzinnego i nieletnich, ośrodka pomocy społecznej lub przesyła formularz „Niebieska Karta – A” do przewodniczącego zespołu interdyscyplinarnego.</w:t>
      </w:r>
    </w:p>
    <w:p w:rsidR="00000000" w:rsidDel="00000000" w:rsidP="00000000" w:rsidRDefault="00000000" w:rsidRPr="00000000" w14:paraId="00000050">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Dalszy tok postępowania leży w kompetencjach instytucji wskazanych w punkcie poprzedzającym.</w:t>
      </w:r>
    </w:p>
    <w:p w:rsidR="00000000" w:rsidDel="00000000" w:rsidP="00000000" w:rsidRDefault="00000000" w:rsidRPr="00000000" w14:paraId="00000051">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przypadku gdy podejrzenie krzywdzenia zgłosili opiekunowie dziecka, a podejrzenie to nie zostało potwierdzone, należy o tym fakcie poinformować opiekunów dziecka na piśmie.</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p w:rsidR="00000000" w:rsidDel="00000000" w:rsidP="00000000" w:rsidRDefault="00000000" w:rsidRPr="00000000" w14:paraId="00000054">
      <w:pPr>
        <w:numPr>
          <w:ilvl w:val="0"/>
          <w:numId w:val="1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Z przebiegu interwencji sporządza się kartę interwencji, której wzór stanowi Załącznik 3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 Kartę załącza się do akt osobowych dziecka.</w:t>
      </w:r>
    </w:p>
    <w:p w:rsidR="00000000" w:rsidDel="00000000" w:rsidP="00000000" w:rsidRDefault="00000000" w:rsidRPr="00000000" w14:paraId="00000055">
      <w:pPr>
        <w:numPr>
          <w:ilvl w:val="0"/>
          <w:numId w:val="1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Wszyscy pracownicy placówki i inne osoby, które w związku z wykonywaniem obowiązków służbowych podjęły informację o krzywdzeniu dziecka lub informacje z tym związane, są zobowiązane do zachowania tych informacji w tajemnicy, wyłączając informacje przekazywane uprawnionym instytucjom w ramach działań interwencyjnych.</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IV</w:t>
      </w:r>
    </w:p>
    <w:p w:rsidR="00000000" w:rsidDel="00000000" w:rsidP="00000000" w:rsidRDefault="00000000" w:rsidRPr="00000000" w14:paraId="0000005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Zasady ochrony wizerunku dziecka</w:t>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p w:rsidR="00000000" w:rsidDel="00000000" w:rsidP="00000000" w:rsidRDefault="00000000" w:rsidRPr="00000000" w14:paraId="0000005B">
      <w:pPr>
        <w:numPr>
          <w:ilvl w:val="0"/>
          <w:numId w:val="1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Placówka zapewnia najwyższe standardy ochrony danych osobowych dzieci zgodnie z obowiązującymi przepisami prawa.</w:t>
      </w:r>
    </w:p>
    <w:p w:rsidR="00000000" w:rsidDel="00000000" w:rsidP="00000000" w:rsidRDefault="00000000" w:rsidRPr="00000000" w14:paraId="0000005C">
      <w:pPr>
        <w:numPr>
          <w:ilvl w:val="0"/>
          <w:numId w:val="1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Placówka, uznając prawo dziecka do prywatności i ochrony dóbr osobistych, zapewnia ochronę wizerunku dziecka.</w:t>
      </w:r>
    </w:p>
    <w:p w:rsidR="00000000" w:rsidDel="00000000" w:rsidP="00000000" w:rsidRDefault="00000000" w:rsidRPr="00000000" w14:paraId="0000005D">
      <w:pPr>
        <w:numPr>
          <w:ilvl w:val="0"/>
          <w:numId w:val="1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Wytyczne dotyczące zasad publikacji wizerunku dziecka stanowią Załącznik 4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p w:rsidR="00000000" w:rsidDel="00000000" w:rsidP="00000000" w:rsidRDefault="00000000" w:rsidRPr="00000000" w14:paraId="00000060">
      <w:pPr>
        <w:numPr>
          <w:ilvl w:val="0"/>
          <w:numId w:val="1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Pracownikowi placówki nie wolno umożliwiać przedstawicielom mediów utrwalania wizerunku dziecka (filmowanie, fotografowanie, nagrywanie głosu dziecka) na terenie placówki bez pisemnej zgody rodzica lub opiekuna prawnego dziecka.</w:t>
      </w:r>
    </w:p>
    <w:p w:rsidR="00000000" w:rsidDel="00000000" w:rsidP="00000000" w:rsidRDefault="00000000" w:rsidRPr="00000000" w14:paraId="00000061">
      <w:pPr>
        <w:numPr>
          <w:ilvl w:val="0"/>
          <w:numId w:val="1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celu uzyskania zgody, o której mowa powyżej, pracownik placówki może skontaktować się z opiekunem dziecka i ustalić procedurę uzyskania zgody. Niedopuszczalne jest podanie przedstawicielowi mediów danych kontaktowych do opiekuna dziecka – bez wiedzy i zgody tego opiekuna.</w:t>
      </w:r>
    </w:p>
    <w:p w:rsidR="00000000" w:rsidDel="00000000" w:rsidP="00000000" w:rsidRDefault="00000000" w:rsidRPr="00000000" w14:paraId="00000062">
      <w:pPr>
        <w:numPr>
          <w:ilvl w:val="0"/>
          <w:numId w:val="1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Jeżeli wizerunek dziecka stanowi jedynie szczegół całości, takiej jak: zgromadzenie, krajobraz, publiczna impreza, zgoda rodzica lub opiekuna prawnego na utrwalanie wizerunku dziecka nie jest wymagana.</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14:paraId="00000065">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Upublicznienie przez pracownika placówki wizerunku dziecka utrwalonego w jakiejkolwiek formie (fotografia, nagranie audio-wideo) wymaga pisemnej zgody rodzica lub opiekuna prawnego dziecka. Dobrą praktyką jest również pozyskiwanie zgód samych dzieci.</w:t>
      </w:r>
    </w:p>
    <w:p w:rsidR="00000000" w:rsidDel="00000000" w:rsidP="00000000" w:rsidRDefault="00000000" w:rsidRPr="00000000" w14:paraId="00000066">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Pisemna zgoda, o której mowa w ust. 1, powinna zawierać informację, gdzie będzie umieszczony zarejestrowany wizerunek i w jakim kontekście będzie wykorzystywany.</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V</w:t>
      </w:r>
    </w:p>
    <w:p w:rsidR="00000000" w:rsidDel="00000000" w:rsidP="00000000" w:rsidRDefault="00000000" w:rsidRPr="00000000" w14:paraId="0000006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Zasady dostępu dzieci do internetu</w:t>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p w:rsidR="00000000" w:rsidDel="00000000" w:rsidP="00000000" w:rsidRDefault="00000000" w:rsidRPr="00000000" w14:paraId="0000006C">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Placówka, zapewniając dzieciom dostęp do internetu, jest zobowiązana podejmować działania zabezpieczające dzieci przed dostępem do treści, które mogą stanowić zagrożenie dla ich prawidłowego rozwoju. W szczególności należy zainstalować i aktualizować oprogramowanie zabezpieczające. Zasady bezpiecznego korzystania z internetu i mediów elektronicznych stanowią Załącznik 5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D">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 terenie placówki dostęp dziecka do internetu możliwy jest pod nadzorem pracownika szkoły na zajęciach komputerowych.</w:t>
      </w:r>
    </w:p>
    <w:p w:rsidR="00000000" w:rsidDel="00000000" w:rsidP="00000000" w:rsidRDefault="00000000" w:rsidRPr="00000000" w14:paraId="0000006E">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przypadku dostępu realizowanego pod nadzorem pracownika placówki, pracownik</w:t>
      </w:r>
    </w:p>
    <w:p w:rsidR="00000000" w:rsidDel="00000000" w:rsidP="00000000" w:rsidRDefault="00000000" w:rsidRPr="00000000" w14:paraId="0000006F">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placówki ma obowiązek informowania dzieci o zasadach bezpiecznego korzystania z internetu. Pracownik placówki czuwa także nad bezpieczeństwem korzystania z internetu przez dzieci podczas lekcji.</w:t>
      </w:r>
    </w:p>
    <w:p w:rsidR="00000000" w:rsidDel="00000000" w:rsidP="00000000" w:rsidRDefault="00000000" w:rsidRPr="00000000" w14:paraId="00000070">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miarę możliwości osoba odpowiedzialna za internet przeprowadza z dziećmi cykliczne szkolenia dotyczące bezpiecznego korzystania z internetu.</w:t>
      </w:r>
    </w:p>
    <w:p w:rsidR="00000000" w:rsidDel="00000000" w:rsidP="00000000" w:rsidRDefault="00000000" w:rsidRPr="00000000" w14:paraId="00000071">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Placówka zapewnia stały dostęp do materiałów edukacyjnych, dotyczących bezpiecznego korzystania z internetu.</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p w:rsidR="00000000" w:rsidDel="00000000" w:rsidP="00000000" w:rsidRDefault="00000000" w:rsidRPr="00000000" w14:paraId="00000074">
      <w:pPr>
        <w:numPr>
          <w:ilvl w:val="0"/>
          <w:numId w:val="9"/>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odpowiedzialna za internet zapewnia, aby sieć internetowa organizacji placówki była zabezpieczona przed niebezpiecznymi treściami, instalując i aktualizując odpowiednie nowoczesne oprogramowanie.</w:t>
      </w:r>
    </w:p>
    <w:p w:rsidR="00000000" w:rsidDel="00000000" w:rsidP="00000000" w:rsidRDefault="00000000" w:rsidRPr="00000000" w14:paraId="00000075">
      <w:pPr>
        <w:numPr>
          <w:ilvl w:val="0"/>
          <w:numId w:val="9"/>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Wymienione w pkt. 1 niniejszego paragrafu oprogramowanie jest aktualizowane przez wyznaczonego pracownika w miarę potrzeb, przynajmniej raz w miesiącu.</w:t>
      </w:r>
    </w:p>
    <w:p w:rsidR="00000000" w:rsidDel="00000000" w:rsidP="00000000" w:rsidRDefault="00000000" w:rsidRPr="00000000" w14:paraId="00000076">
      <w:pPr>
        <w:numPr>
          <w:ilvl w:val="0"/>
          <w:numId w:val="9"/>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Wyznaczony pracownik szkoły przynajmniej raz w miesiącu sprawdza, czy na komputerach, podłączonych do internetu nie znajdują się niebezpieczne treści. W przypadku znalezienia niebezpiecznych treści, wyznaczony pracownik stara się ustalić, kto korzystał z komputera w czasie ich wprowadzenia.</w:t>
      </w:r>
    </w:p>
    <w:p w:rsidR="00000000" w:rsidDel="00000000" w:rsidP="00000000" w:rsidRDefault="00000000" w:rsidRPr="00000000" w14:paraId="00000077">
      <w:pPr>
        <w:numPr>
          <w:ilvl w:val="0"/>
          <w:numId w:val="9"/>
        </w:numPr>
        <w:ind w:left="720" w:hanging="360"/>
        <w:jc w:val="both"/>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VI</w:t>
      </w:r>
    </w:p>
    <w:p w:rsidR="00000000" w:rsidDel="00000000" w:rsidP="00000000" w:rsidRDefault="00000000" w:rsidRPr="00000000" w14:paraId="0000007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Monitoring stosowania Polityki</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p w:rsidR="00000000" w:rsidDel="00000000" w:rsidP="00000000" w:rsidRDefault="00000000" w:rsidRPr="00000000" w14:paraId="0000007D">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Kierownictwo placówki wyznacza Joannę Drożdż - Kahlert jako osobę odpowiedzialną za </w:t>
      </w:r>
      <w:r w:rsidDel="00000000" w:rsidR="00000000" w:rsidRPr="00000000">
        <w:rPr>
          <w:rFonts w:ascii="Times New Roman" w:cs="Times New Roman" w:eastAsia="Times New Roman" w:hAnsi="Times New Roman"/>
          <w:i w:val="1"/>
          <w:sz w:val="24"/>
          <w:szCs w:val="24"/>
          <w:rtl w:val="0"/>
        </w:rPr>
        <w:t xml:space="preserve">Politykę ochrony dzieci</w:t>
      </w:r>
      <w:r w:rsidDel="00000000" w:rsidR="00000000" w:rsidRPr="00000000">
        <w:rPr>
          <w:rFonts w:ascii="Times New Roman" w:cs="Times New Roman" w:eastAsia="Times New Roman" w:hAnsi="Times New Roman"/>
          <w:sz w:val="24"/>
          <w:szCs w:val="24"/>
          <w:rtl w:val="0"/>
        </w:rPr>
        <w:t xml:space="preserve"> w placówce.</w:t>
      </w:r>
    </w:p>
    <w:p w:rsidR="00000000" w:rsidDel="00000000" w:rsidP="00000000" w:rsidRDefault="00000000" w:rsidRPr="00000000" w14:paraId="0000007E">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 której mowa w punkcie poprzedzającym, jest odpowiedzialna za monitorowanie realizacji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 za reagowanie na sygnały naruszenia </w:t>
      </w:r>
      <w:r w:rsidDel="00000000" w:rsidR="00000000" w:rsidRPr="00000000">
        <w:rPr>
          <w:rFonts w:ascii="Times New Roman" w:cs="Times New Roman" w:eastAsia="Times New Roman" w:hAnsi="Times New Roman"/>
          <w:i w:val="1"/>
          <w:sz w:val="24"/>
          <w:szCs w:val="24"/>
          <w:rtl w:val="0"/>
        </w:rPr>
        <w:t xml:space="preserve">Polityki </w:t>
      </w:r>
      <w:r w:rsidDel="00000000" w:rsidR="00000000" w:rsidRPr="00000000">
        <w:rPr>
          <w:rFonts w:ascii="Times New Roman" w:cs="Times New Roman" w:eastAsia="Times New Roman" w:hAnsi="Times New Roman"/>
          <w:sz w:val="24"/>
          <w:szCs w:val="24"/>
          <w:rtl w:val="0"/>
        </w:rPr>
        <w:t xml:space="preserve">i prowadzenie rejestru zgłoszeń oraz zaproponowanie zmian w </w:t>
      </w:r>
      <w:r w:rsidDel="00000000" w:rsidR="00000000" w:rsidRPr="00000000">
        <w:rPr>
          <w:rFonts w:ascii="Times New Roman" w:cs="Times New Roman" w:eastAsia="Times New Roman" w:hAnsi="Times New Roman"/>
          <w:i w:val="1"/>
          <w:sz w:val="24"/>
          <w:szCs w:val="24"/>
          <w:rtl w:val="0"/>
        </w:rPr>
        <w:t xml:space="preserve">Polityce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F">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 której mowa w pkt. 1 niniejszego paragrafu, przeprowadza wśród pracowników placówki, raz na 12 miesięcy, ankietę monitorującą poziom realizacji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 Wzór ankiety stanowi Załącznik 6 do niniejszej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0">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 ankiecie pracownicy placówki mogą proponować zmiany </w:t>
      </w:r>
      <w:r w:rsidDel="00000000" w:rsidR="00000000" w:rsidRPr="00000000">
        <w:rPr>
          <w:rFonts w:ascii="Times New Roman" w:cs="Times New Roman" w:eastAsia="Times New Roman" w:hAnsi="Times New Roman"/>
          <w:i w:val="1"/>
          <w:sz w:val="24"/>
          <w:szCs w:val="24"/>
          <w:rtl w:val="0"/>
        </w:rPr>
        <w:t xml:space="preserve">Polityki </w:t>
      </w:r>
      <w:r w:rsidDel="00000000" w:rsidR="00000000" w:rsidRPr="00000000">
        <w:rPr>
          <w:rFonts w:ascii="Times New Roman" w:cs="Times New Roman" w:eastAsia="Times New Roman" w:hAnsi="Times New Roman"/>
          <w:sz w:val="24"/>
          <w:szCs w:val="24"/>
          <w:rtl w:val="0"/>
        </w:rPr>
        <w:t xml:space="preserve">oraz wskazywać naruszenia </w:t>
      </w:r>
      <w:r w:rsidDel="00000000" w:rsidR="00000000" w:rsidRPr="00000000">
        <w:rPr>
          <w:rFonts w:ascii="Times New Roman" w:cs="Times New Roman" w:eastAsia="Times New Roman" w:hAnsi="Times New Roman"/>
          <w:i w:val="1"/>
          <w:sz w:val="24"/>
          <w:szCs w:val="24"/>
          <w:rtl w:val="0"/>
        </w:rPr>
        <w:t xml:space="preserve">Polityki </w:t>
      </w:r>
      <w:r w:rsidDel="00000000" w:rsidR="00000000" w:rsidRPr="00000000">
        <w:rPr>
          <w:rFonts w:ascii="Times New Roman" w:cs="Times New Roman" w:eastAsia="Times New Roman" w:hAnsi="Times New Roman"/>
          <w:sz w:val="24"/>
          <w:szCs w:val="24"/>
          <w:rtl w:val="0"/>
        </w:rPr>
        <w:t xml:space="preserve">w placówce.</w:t>
      </w:r>
    </w:p>
    <w:p w:rsidR="00000000" w:rsidDel="00000000" w:rsidP="00000000" w:rsidRDefault="00000000" w:rsidRPr="00000000" w14:paraId="00000081">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Osoba, o której mowa w pkt. 1 niniejszego paragrafu, dokonuje opracowania wypełnionych przez pracowników placówki ankiet. Sporządza na tej podstawie raport z monitoringu, który następnie </w:t>
      </w:r>
      <w:r w:rsidDel="00000000" w:rsidR="00000000" w:rsidRPr="00000000">
        <w:rPr>
          <w:rFonts w:ascii="Times New Roman" w:cs="Times New Roman" w:eastAsia="Times New Roman" w:hAnsi="Times New Roman"/>
          <w:sz w:val="24"/>
          <w:szCs w:val="24"/>
          <w:rtl w:val="0"/>
        </w:rPr>
        <w:t xml:space="preserve">przekazuje</w:t>
      </w:r>
      <w:r w:rsidDel="00000000" w:rsidR="00000000" w:rsidRPr="00000000">
        <w:rPr>
          <w:rFonts w:ascii="Times New Roman" w:cs="Times New Roman" w:eastAsia="Times New Roman" w:hAnsi="Times New Roman"/>
          <w:sz w:val="24"/>
          <w:szCs w:val="24"/>
          <w:rtl w:val="0"/>
        </w:rPr>
        <w:t xml:space="preserve"> dyrekcji placówki.</w:t>
      </w:r>
    </w:p>
    <w:p w:rsidR="00000000" w:rsidDel="00000000" w:rsidP="00000000" w:rsidRDefault="00000000" w:rsidRPr="00000000" w14:paraId="00000082">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Kierownictwo placówki wprowadza do </w:t>
      </w:r>
      <w:r w:rsidDel="00000000" w:rsidR="00000000" w:rsidRPr="00000000">
        <w:rPr>
          <w:rFonts w:ascii="Times New Roman" w:cs="Times New Roman" w:eastAsia="Times New Roman" w:hAnsi="Times New Roman"/>
          <w:i w:val="1"/>
          <w:sz w:val="24"/>
          <w:szCs w:val="24"/>
          <w:rtl w:val="0"/>
        </w:rPr>
        <w:t xml:space="preserve">Polityki </w:t>
      </w:r>
      <w:r w:rsidDel="00000000" w:rsidR="00000000" w:rsidRPr="00000000">
        <w:rPr>
          <w:rFonts w:ascii="Times New Roman" w:cs="Times New Roman" w:eastAsia="Times New Roman" w:hAnsi="Times New Roman"/>
          <w:sz w:val="24"/>
          <w:szCs w:val="24"/>
          <w:rtl w:val="0"/>
        </w:rPr>
        <w:t xml:space="preserve">niezbędne zmiany i ogłasza pracownikom placówki, dzieciom i ich opiekunom nowe brzmienie </w:t>
      </w:r>
      <w:r w:rsidDel="00000000" w:rsidR="00000000" w:rsidRPr="00000000">
        <w:rPr>
          <w:rFonts w:ascii="Times New Roman" w:cs="Times New Roman" w:eastAsia="Times New Roman" w:hAnsi="Times New Roman"/>
          <w:i w:val="1"/>
          <w:sz w:val="24"/>
          <w:szCs w:val="24"/>
          <w:rtl w:val="0"/>
        </w:rPr>
        <w:t xml:space="preserve">Polityki</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Rozdział VII</w:t>
      </w:r>
    </w:p>
    <w:p w:rsidR="00000000" w:rsidDel="00000000" w:rsidP="00000000" w:rsidRDefault="00000000" w:rsidRPr="00000000" w14:paraId="0000008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Przepisy końcowe</w:t>
      </w:r>
    </w:p>
    <w:p w:rsidR="00000000" w:rsidDel="00000000" w:rsidP="00000000" w:rsidRDefault="00000000" w:rsidRPr="00000000" w14:paraId="0000008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p w:rsidR="00000000" w:rsidDel="00000000" w:rsidP="00000000" w:rsidRDefault="00000000" w:rsidRPr="00000000" w14:paraId="00000088">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Polityka </w:t>
      </w:r>
      <w:r w:rsidDel="00000000" w:rsidR="00000000" w:rsidRPr="00000000">
        <w:rPr>
          <w:rFonts w:ascii="Times New Roman" w:cs="Times New Roman" w:eastAsia="Times New Roman" w:hAnsi="Times New Roman"/>
          <w:sz w:val="24"/>
          <w:szCs w:val="24"/>
          <w:rtl w:val="0"/>
        </w:rPr>
        <w:t xml:space="preserve">wchodzi w życie z dniem jej ogłoszenia.</w:t>
      </w:r>
    </w:p>
    <w:p w:rsidR="00000000" w:rsidDel="00000000" w:rsidP="00000000" w:rsidRDefault="00000000" w:rsidRPr="00000000" w14:paraId="00000089">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Ogłoszenie następuje w sposób dostępny dla pracowników placówki, dzieci i ich opiekunów, w szczególności poprzez wywieszenie w miejscu ogłoszeń dla pracowników lub poprzez przesłanie jej tekstu drogą elektroniczną oraz poprzez zamieszczenie na stronie internetowej i wywieszenie w widocznym miejscu w siedzibie, również w wersji skróconej, przeznaczonej dla dzieci.</w:t>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widowControl w:val="0"/>
        <w:pBdr>
          <w:bottom w:color="000000" w:space="2" w:sz="4" w:val="single"/>
        </w:pBdr>
        <w:spacing w:after="120" w:before="25" w:line="273" w:lineRule="auto"/>
        <w:ind w:left="1003"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pBdr>
          <w:bottom w:color="000000" w:space="2" w:sz="4" w:val="single"/>
        </w:pBdr>
        <w:spacing w:after="120" w:before="25" w:line="273" w:lineRule="auto"/>
        <w:ind w:left="1003"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120" w:before="25" w:line="273" w:lineRule="auto"/>
        <w:ind w:left="1003" w:hanging="36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PODPIS I PIECZĄTKA DYREKTORA</w:t>
      </w:r>
    </w:p>
    <w:p w:rsidR="00000000" w:rsidDel="00000000" w:rsidP="00000000" w:rsidRDefault="00000000" w:rsidRPr="00000000" w14:paraId="00000090">
      <w:pPr>
        <w:spacing w:after="120" w:before="25" w:line="273" w:lineRule="auto"/>
        <w:ind w:left="1003" w:hanging="36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